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3729" w14:textId="4DBAEE50" w:rsidR="008E1990" w:rsidRDefault="008E1990" w:rsidP="008E1990">
      <w:pPr>
        <w:pStyle w:val="Heading1"/>
        <w:jc w:val="center"/>
        <w:rPr>
          <w:lang w:val="en-IE"/>
        </w:rPr>
      </w:pPr>
      <w:bookmarkStart w:id="0" w:name="_Toc482093979"/>
      <w:bookmarkStart w:id="1" w:name="_Toc482184125"/>
      <w:bookmarkStart w:id="2" w:name="_Toc485993103"/>
      <w:r>
        <w:rPr>
          <w:noProof/>
          <w:lang w:val="en-IE"/>
        </w:rPr>
        <w:drawing>
          <wp:inline distT="0" distB="0" distL="0" distR="0" wp14:anchorId="175551B3" wp14:editId="27D5D2DA">
            <wp:extent cx="1825623" cy="912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harvey Farm Logo 2017_B&amp;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020" cy="923511"/>
                    </a:xfrm>
                    <a:prstGeom prst="rect">
                      <a:avLst/>
                    </a:prstGeom>
                  </pic:spPr>
                </pic:pic>
              </a:graphicData>
            </a:graphic>
          </wp:inline>
        </w:drawing>
      </w:r>
    </w:p>
    <w:p w14:paraId="51B45056" w14:textId="7C0D90D5" w:rsidR="006E0152" w:rsidRPr="00115599" w:rsidRDefault="006E0152" w:rsidP="008E1990">
      <w:pPr>
        <w:pStyle w:val="Heading1"/>
        <w:jc w:val="center"/>
        <w:rPr>
          <w:lang w:val="en-IE"/>
        </w:rPr>
      </w:pPr>
      <w:r w:rsidRPr="00115599">
        <w:rPr>
          <w:lang w:val="en-IE"/>
        </w:rPr>
        <w:t>Child Safeguarding Statement</w:t>
      </w:r>
      <w:bookmarkEnd w:id="0"/>
      <w:bookmarkEnd w:id="1"/>
      <w:bookmarkEnd w:id="2"/>
    </w:p>
    <w:p w14:paraId="1ED116A6" w14:textId="77777777" w:rsidR="009220EB" w:rsidRDefault="009220EB" w:rsidP="006E0152">
      <w:pPr>
        <w:rPr>
          <w:lang w:val="ga-IE"/>
        </w:rPr>
      </w:pPr>
    </w:p>
    <w:p w14:paraId="565EA76F" w14:textId="434E0ABB" w:rsidR="006E0152" w:rsidRPr="00F468AC" w:rsidRDefault="006E0152" w:rsidP="00F468AC">
      <w:pPr>
        <w:pStyle w:val="ListParagraph"/>
        <w:numPr>
          <w:ilvl w:val="0"/>
          <w:numId w:val="3"/>
        </w:numPr>
        <w:ind w:left="426" w:hanging="426"/>
        <w:jc w:val="both"/>
        <w:rPr>
          <w:sz w:val="20"/>
          <w:szCs w:val="20"/>
        </w:rPr>
      </w:pPr>
      <w:bookmarkStart w:id="3" w:name="_Toc454360030"/>
      <w:bookmarkStart w:id="4" w:name="_Toc454445292"/>
      <w:bookmarkStart w:id="5" w:name="_Toc454445452"/>
      <w:bookmarkStart w:id="6" w:name="_Toc454445522"/>
      <w:r w:rsidRPr="00F468AC">
        <w:rPr>
          <w:b/>
          <w:sz w:val="20"/>
          <w:szCs w:val="20"/>
        </w:rPr>
        <w:t xml:space="preserve">Name of </w:t>
      </w:r>
      <w:bookmarkEnd w:id="3"/>
      <w:bookmarkEnd w:id="4"/>
      <w:bookmarkEnd w:id="5"/>
      <w:bookmarkEnd w:id="6"/>
      <w:r w:rsidRPr="00F468AC">
        <w:rPr>
          <w:b/>
          <w:sz w:val="20"/>
          <w:szCs w:val="20"/>
        </w:rPr>
        <w:t xml:space="preserve">service being provided: </w:t>
      </w:r>
      <w:r w:rsidR="008E1990" w:rsidRPr="00F468AC">
        <w:rPr>
          <w:sz w:val="20"/>
          <w:szCs w:val="20"/>
        </w:rPr>
        <w:t xml:space="preserve">Equestrian Centre, Horse Riding </w:t>
      </w:r>
      <w:r w:rsidR="00FB2234" w:rsidRPr="00F468AC">
        <w:rPr>
          <w:sz w:val="20"/>
          <w:szCs w:val="20"/>
        </w:rPr>
        <w:t>School and</w:t>
      </w:r>
      <w:r w:rsidR="008E1990" w:rsidRPr="00F468AC">
        <w:rPr>
          <w:sz w:val="20"/>
          <w:szCs w:val="20"/>
        </w:rPr>
        <w:t xml:space="preserve"> Accommodation Provider. </w:t>
      </w:r>
    </w:p>
    <w:p w14:paraId="084A31F5" w14:textId="77777777" w:rsidR="006E0152" w:rsidRPr="00F468AC" w:rsidRDefault="006E0152" w:rsidP="00F468AC">
      <w:pPr>
        <w:jc w:val="both"/>
        <w:rPr>
          <w:sz w:val="20"/>
          <w:szCs w:val="20"/>
          <w:lang w:eastAsia="en-GB"/>
        </w:rPr>
      </w:pPr>
    </w:p>
    <w:p w14:paraId="78FFE97B" w14:textId="47CB57CD" w:rsidR="00F468AC" w:rsidRPr="00F5185B" w:rsidRDefault="006E0152" w:rsidP="00F5185B">
      <w:pPr>
        <w:pStyle w:val="ListParagraph"/>
        <w:numPr>
          <w:ilvl w:val="0"/>
          <w:numId w:val="3"/>
        </w:numPr>
        <w:ind w:left="426" w:hanging="426"/>
        <w:jc w:val="both"/>
        <w:rPr>
          <w:sz w:val="20"/>
          <w:szCs w:val="20"/>
        </w:rPr>
      </w:pPr>
      <w:r w:rsidRPr="00F468AC">
        <w:rPr>
          <w:b/>
          <w:sz w:val="20"/>
          <w:szCs w:val="20"/>
        </w:rPr>
        <w:t>Nature of service and principles to safeguard children from harm</w:t>
      </w:r>
    </w:p>
    <w:p w14:paraId="28E8DF1C" w14:textId="6D2B55EE" w:rsidR="006E0152" w:rsidRPr="00F468AC" w:rsidRDefault="006E0152" w:rsidP="00F468AC">
      <w:pPr>
        <w:pStyle w:val="ListParagraph"/>
        <w:ind w:left="426"/>
        <w:jc w:val="both"/>
        <w:rPr>
          <w:sz w:val="20"/>
          <w:szCs w:val="20"/>
        </w:rPr>
      </w:pPr>
      <w:r w:rsidRPr="00F468AC">
        <w:rPr>
          <w:b/>
          <w:sz w:val="20"/>
          <w:szCs w:val="20"/>
        </w:rPr>
        <w:t xml:space="preserve"> </w:t>
      </w:r>
      <w:r w:rsidR="008E1990" w:rsidRPr="00F468AC">
        <w:rPr>
          <w:sz w:val="20"/>
          <w:szCs w:val="20"/>
        </w:rPr>
        <w:t xml:space="preserve">Annaharvey Farm </w:t>
      </w:r>
      <w:r w:rsidR="00F468AC" w:rsidRPr="00F468AC">
        <w:rPr>
          <w:sz w:val="20"/>
          <w:szCs w:val="20"/>
        </w:rPr>
        <w:t xml:space="preserve">provides equestrian education for all levels of equestrian sport. </w:t>
      </w:r>
      <w:r w:rsidR="00FB2234" w:rsidRPr="00F5185B">
        <w:rPr>
          <w:sz w:val="20"/>
          <w:szCs w:val="20"/>
        </w:rPr>
        <w:t>Annaharvey</w:t>
      </w:r>
      <w:r w:rsidR="00F468AC" w:rsidRPr="00F5185B">
        <w:rPr>
          <w:sz w:val="20"/>
          <w:szCs w:val="20"/>
        </w:rPr>
        <w:t xml:space="preserve"> farm</w:t>
      </w:r>
      <w:r w:rsidR="00F468AC" w:rsidRPr="00F468AC">
        <w:rPr>
          <w:sz w:val="20"/>
          <w:szCs w:val="20"/>
        </w:rPr>
        <w:t xml:space="preserve"> is committed to safeguarding children and young people. All our staff working with children seek to create a safe environment for children and young people to participate in equestrian sport. </w:t>
      </w:r>
    </w:p>
    <w:p w14:paraId="789663DE" w14:textId="77777777" w:rsidR="00F468AC" w:rsidRPr="00F468AC" w:rsidRDefault="00F468AC" w:rsidP="00F468AC">
      <w:pPr>
        <w:jc w:val="both"/>
        <w:rPr>
          <w:sz w:val="20"/>
          <w:szCs w:val="20"/>
        </w:rPr>
      </w:pPr>
    </w:p>
    <w:p w14:paraId="08C3EC9F" w14:textId="61E43480" w:rsidR="006E0152" w:rsidRPr="00F468AC" w:rsidRDefault="006E0152" w:rsidP="00F468AC">
      <w:pPr>
        <w:pStyle w:val="ListParagraph"/>
        <w:numPr>
          <w:ilvl w:val="0"/>
          <w:numId w:val="3"/>
        </w:numPr>
        <w:ind w:left="426" w:hanging="426"/>
        <w:jc w:val="both"/>
        <w:rPr>
          <w:b/>
          <w:sz w:val="20"/>
          <w:szCs w:val="20"/>
        </w:rPr>
      </w:pPr>
      <w:bookmarkStart w:id="7" w:name="_Toc454360035"/>
      <w:bookmarkStart w:id="8" w:name="_Toc454445297"/>
      <w:bookmarkStart w:id="9" w:name="_Toc454445457"/>
      <w:bookmarkStart w:id="10" w:name="_Toc454445527"/>
      <w:r w:rsidRPr="00F468AC">
        <w:rPr>
          <w:b/>
          <w:sz w:val="20"/>
          <w:szCs w:val="20"/>
        </w:rPr>
        <w:t>Risk Assessment</w:t>
      </w:r>
      <w:bookmarkEnd w:id="7"/>
      <w:bookmarkEnd w:id="8"/>
      <w:bookmarkEnd w:id="9"/>
      <w:bookmarkEnd w:id="10"/>
    </w:p>
    <w:p w14:paraId="5977D789" w14:textId="77777777" w:rsidR="00F468AC" w:rsidRPr="00F468AC" w:rsidRDefault="00F468AC" w:rsidP="00F468AC">
      <w:pPr>
        <w:pStyle w:val="ListParagraph"/>
        <w:jc w:val="both"/>
        <w:rPr>
          <w:b/>
          <w:sz w:val="20"/>
          <w:szCs w:val="20"/>
        </w:rPr>
      </w:pPr>
    </w:p>
    <w:p w14:paraId="0ABEEC31" w14:textId="53EDF50E" w:rsidR="00F468AC" w:rsidRPr="00F468AC" w:rsidRDefault="00F468AC" w:rsidP="00F468AC">
      <w:pPr>
        <w:ind w:left="426"/>
        <w:jc w:val="both"/>
        <w:rPr>
          <w:sz w:val="20"/>
          <w:szCs w:val="20"/>
        </w:rPr>
      </w:pPr>
      <w:r w:rsidRPr="00F468AC">
        <w:rPr>
          <w:sz w:val="20"/>
          <w:szCs w:val="20"/>
        </w:rPr>
        <w:t xml:space="preserve">We have completed a Safeguarding Risk assessment that indicates the areas of potential risk of harm, the likelihood of the risk </w:t>
      </w:r>
      <w:r w:rsidR="00FB2234" w:rsidRPr="00F468AC">
        <w:rPr>
          <w:sz w:val="20"/>
          <w:szCs w:val="20"/>
        </w:rPr>
        <w:t>occurring,</w:t>
      </w:r>
      <w:r w:rsidRPr="00F468AC">
        <w:rPr>
          <w:sz w:val="20"/>
          <w:szCs w:val="20"/>
        </w:rPr>
        <w:t xml:space="preserve"> and gives the required </w:t>
      </w:r>
      <w:r w:rsidR="00FB2234" w:rsidRPr="00F468AC">
        <w:rPr>
          <w:sz w:val="20"/>
          <w:szCs w:val="20"/>
        </w:rPr>
        <w:t>policy,</w:t>
      </w:r>
      <w:r w:rsidRPr="00F468AC">
        <w:rPr>
          <w:sz w:val="20"/>
          <w:szCs w:val="20"/>
        </w:rPr>
        <w:t xml:space="preserve"> guidance or procedure documents required to alleviate these risks. The list of risks identified are contained in the categories- Coaching/teaching practices, Complaints &amp; </w:t>
      </w:r>
      <w:r w:rsidR="00FB2234" w:rsidRPr="00F468AC">
        <w:rPr>
          <w:sz w:val="20"/>
          <w:szCs w:val="20"/>
        </w:rPr>
        <w:t>Discipline,</w:t>
      </w:r>
      <w:r w:rsidRPr="00F468AC">
        <w:rPr>
          <w:sz w:val="20"/>
          <w:szCs w:val="20"/>
        </w:rPr>
        <w:t xml:space="preserve"> Reporting Procedures. Use of facilities</w:t>
      </w:r>
      <w:proofErr w:type="gramStart"/>
      <w:r w:rsidRPr="00F468AC">
        <w:rPr>
          <w:sz w:val="20"/>
          <w:szCs w:val="20"/>
        </w:rPr>
        <w:t>, ,</w:t>
      </w:r>
      <w:proofErr w:type="gramEnd"/>
      <w:r w:rsidRPr="00F468AC">
        <w:rPr>
          <w:sz w:val="20"/>
          <w:szCs w:val="20"/>
        </w:rPr>
        <w:t xml:space="preserve"> Recruitment , Communications and General Risk of Harm. </w:t>
      </w:r>
    </w:p>
    <w:p w14:paraId="5F59531F" w14:textId="77777777" w:rsidR="006E0152" w:rsidRPr="00F468AC" w:rsidRDefault="006E0152" w:rsidP="00F468AC">
      <w:pPr>
        <w:jc w:val="both"/>
        <w:rPr>
          <w:sz w:val="20"/>
          <w:szCs w:val="20"/>
        </w:rPr>
      </w:pPr>
    </w:p>
    <w:p w14:paraId="7A267F53" w14:textId="77777777" w:rsidR="006E0152" w:rsidRPr="00F468AC" w:rsidRDefault="006E0152" w:rsidP="00F468AC">
      <w:pPr>
        <w:pStyle w:val="ListParagraph"/>
        <w:numPr>
          <w:ilvl w:val="0"/>
          <w:numId w:val="3"/>
        </w:numPr>
        <w:ind w:left="426" w:hanging="426"/>
        <w:jc w:val="both"/>
        <w:rPr>
          <w:b/>
          <w:sz w:val="20"/>
          <w:szCs w:val="20"/>
        </w:rPr>
      </w:pPr>
      <w:bookmarkStart w:id="11" w:name="_Toc454360036"/>
      <w:bookmarkStart w:id="12" w:name="_Toc454445298"/>
      <w:bookmarkStart w:id="13" w:name="_Toc454445458"/>
      <w:bookmarkStart w:id="14" w:name="_Toc454445528"/>
      <w:r w:rsidRPr="00F468AC">
        <w:rPr>
          <w:b/>
          <w:sz w:val="20"/>
          <w:szCs w:val="20"/>
        </w:rPr>
        <w:t>Procedures</w:t>
      </w:r>
      <w:bookmarkEnd w:id="11"/>
      <w:bookmarkEnd w:id="12"/>
      <w:bookmarkEnd w:id="13"/>
      <w:bookmarkEnd w:id="14"/>
    </w:p>
    <w:p w14:paraId="31EF899D" w14:textId="77777777" w:rsidR="006E0152" w:rsidRPr="00F468AC" w:rsidRDefault="006E0152" w:rsidP="00F468AC">
      <w:pPr>
        <w:jc w:val="both"/>
        <w:rPr>
          <w:sz w:val="20"/>
          <w:szCs w:val="20"/>
        </w:rPr>
      </w:pPr>
    </w:p>
    <w:p w14:paraId="4D7F2C9E" w14:textId="77777777" w:rsidR="006E0152" w:rsidRPr="00F468AC" w:rsidRDefault="006E0152" w:rsidP="00F468AC">
      <w:pPr>
        <w:jc w:val="both"/>
        <w:rPr>
          <w:sz w:val="20"/>
          <w:szCs w:val="20"/>
        </w:rPr>
      </w:pPr>
      <w:r w:rsidRPr="00F468AC">
        <w:rPr>
          <w:sz w:val="20"/>
          <w:szCs w:val="20"/>
        </w:rPr>
        <w:t xml:space="preserve">Our Child Safeguarding Statement has been developed in line with requirements under the Children First Act 2015, </w:t>
      </w:r>
      <w:r w:rsidRPr="00F468AC">
        <w:rPr>
          <w:i/>
          <w:sz w:val="20"/>
          <w:szCs w:val="20"/>
        </w:rPr>
        <w:t>Children First: National Guidance for the Protection and Welfare of Children</w:t>
      </w:r>
      <w:r w:rsidRPr="00F468AC">
        <w:rPr>
          <w:sz w:val="20"/>
          <w:szCs w:val="20"/>
        </w:rPr>
        <w:t xml:space="preserve"> (2017), and Tusla’s </w:t>
      </w:r>
      <w:r w:rsidRPr="00F468AC">
        <w:rPr>
          <w:i/>
          <w:sz w:val="20"/>
          <w:szCs w:val="20"/>
        </w:rPr>
        <w:t>Child Safeguarding: A Guide for Policy, Procedure and Practice</w:t>
      </w:r>
      <w:r w:rsidRPr="00F468AC">
        <w:rPr>
          <w:sz w:val="20"/>
          <w:szCs w:val="20"/>
        </w:rPr>
        <w:t xml:space="preserve">. In addition to the procedures listed in our risk assessment, the following procedures support our intention to safeguard children while they are availing of our service: </w:t>
      </w:r>
    </w:p>
    <w:p w14:paraId="22DF8869" w14:textId="77777777" w:rsidR="006E0152" w:rsidRPr="00F468AC" w:rsidRDefault="006E0152" w:rsidP="00F468AC">
      <w:pPr>
        <w:jc w:val="both"/>
        <w:rPr>
          <w:sz w:val="20"/>
          <w:szCs w:val="20"/>
        </w:rPr>
      </w:pPr>
    </w:p>
    <w:p w14:paraId="7480E3E8" w14:textId="77777777" w:rsidR="006E0152" w:rsidRPr="00F468AC" w:rsidRDefault="006E0152" w:rsidP="00F468AC">
      <w:pPr>
        <w:pStyle w:val="ListParagraph"/>
        <w:numPr>
          <w:ilvl w:val="0"/>
          <w:numId w:val="4"/>
        </w:numPr>
        <w:jc w:val="both"/>
        <w:rPr>
          <w:sz w:val="20"/>
          <w:szCs w:val="20"/>
        </w:rPr>
      </w:pPr>
      <w:r w:rsidRPr="00F468AC">
        <w:rPr>
          <w:sz w:val="20"/>
          <w:szCs w:val="20"/>
        </w:rPr>
        <w:t>Procedure for the management of allegations of abuse or misconduct against workers/volunteers of a child availing of our service;</w:t>
      </w:r>
    </w:p>
    <w:p w14:paraId="0FB42B3A" w14:textId="77777777" w:rsidR="006E0152" w:rsidRPr="00F468AC" w:rsidRDefault="006E0152" w:rsidP="00F468AC">
      <w:pPr>
        <w:pStyle w:val="ListParagraph"/>
        <w:numPr>
          <w:ilvl w:val="0"/>
          <w:numId w:val="4"/>
        </w:numPr>
        <w:jc w:val="both"/>
        <w:rPr>
          <w:sz w:val="20"/>
          <w:szCs w:val="20"/>
        </w:rPr>
      </w:pPr>
      <w:r w:rsidRPr="00F468AC">
        <w:rPr>
          <w:sz w:val="20"/>
          <w:szCs w:val="20"/>
        </w:rPr>
        <w:t>Procedure for the safe recruitment and selection of workers and volunteers to work with children;</w:t>
      </w:r>
    </w:p>
    <w:p w14:paraId="0DEB11F0" w14:textId="77777777" w:rsidR="006E0152" w:rsidRPr="00F468AC" w:rsidRDefault="006E0152" w:rsidP="00F468AC">
      <w:pPr>
        <w:pStyle w:val="ListParagraph"/>
        <w:numPr>
          <w:ilvl w:val="0"/>
          <w:numId w:val="4"/>
        </w:numPr>
        <w:jc w:val="both"/>
        <w:rPr>
          <w:sz w:val="20"/>
          <w:szCs w:val="20"/>
        </w:rPr>
      </w:pPr>
      <w:r w:rsidRPr="00F468AC">
        <w:rPr>
          <w:sz w:val="20"/>
          <w:szCs w:val="20"/>
        </w:rPr>
        <w:t>Procedure for provision of and access to child safeguarding training and information, including the identification of the occurrence of harm;</w:t>
      </w:r>
    </w:p>
    <w:p w14:paraId="0E1BCAB4" w14:textId="77777777" w:rsidR="006E0152" w:rsidRPr="00F468AC" w:rsidRDefault="006E0152" w:rsidP="00F468AC">
      <w:pPr>
        <w:pStyle w:val="ListParagraph"/>
        <w:numPr>
          <w:ilvl w:val="0"/>
          <w:numId w:val="4"/>
        </w:numPr>
        <w:jc w:val="both"/>
        <w:rPr>
          <w:sz w:val="20"/>
          <w:szCs w:val="20"/>
        </w:rPr>
      </w:pPr>
      <w:r w:rsidRPr="00F468AC">
        <w:rPr>
          <w:sz w:val="20"/>
          <w:szCs w:val="20"/>
        </w:rPr>
        <w:t>Procedure for the reporting of child protection or welfare concerns to Tusla;</w:t>
      </w:r>
    </w:p>
    <w:p w14:paraId="5B3C1CCD" w14:textId="77777777" w:rsidR="006E0152" w:rsidRPr="00F468AC" w:rsidRDefault="006E0152" w:rsidP="00F468AC">
      <w:pPr>
        <w:pStyle w:val="ListParagraph"/>
        <w:numPr>
          <w:ilvl w:val="0"/>
          <w:numId w:val="4"/>
        </w:numPr>
        <w:jc w:val="both"/>
        <w:rPr>
          <w:sz w:val="20"/>
          <w:szCs w:val="20"/>
        </w:rPr>
      </w:pPr>
      <w:r w:rsidRPr="00F468AC">
        <w:rPr>
          <w:sz w:val="20"/>
          <w:szCs w:val="20"/>
        </w:rPr>
        <w:t>Procedure for maintaining a list of the persons (if any) in the relevant service who are mandated persons;</w:t>
      </w:r>
    </w:p>
    <w:p w14:paraId="5BC10ED7" w14:textId="32F49FF5" w:rsidR="006E0152" w:rsidRPr="00F468AC" w:rsidRDefault="006E0152" w:rsidP="00F468AC">
      <w:pPr>
        <w:pStyle w:val="ListParagraph"/>
        <w:numPr>
          <w:ilvl w:val="0"/>
          <w:numId w:val="4"/>
        </w:numPr>
        <w:jc w:val="both"/>
        <w:rPr>
          <w:sz w:val="20"/>
          <w:szCs w:val="20"/>
        </w:rPr>
      </w:pPr>
      <w:r w:rsidRPr="00F468AC">
        <w:rPr>
          <w:sz w:val="20"/>
          <w:szCs w:val="20"/>
        </w:rPr>
        <w:t>Procedure for appointing a relevant person.</w:t>
      </w:r>
    </w:p>
    <w:p w14:paraId="31F43E93" w14:textId="1F85FD7F" w:rsidR="006E0152" w:rsidRPr="00F468AC" w:rsidRDefault="006E0152" w:rsidP="00F468AC">
      <w:pPr>
        <w:jc w:val="both"/>
        <w:rPr>
          <w:sz w:val="20"/>
          <w:szCs w:val="20"/>
        </w:rPr>
      </w:pPr>
      <w:r w:rsidRPr="00F468AC">
        <w:rPr>
          <w:sz w:val="20"/>
          <w:szCs w:val="20"/>
        </w:rPr>
        <w:t>All procedures listed are available upon request.</w:t>
      </w:r>
      <w:bookmarkStart w:id="15" w:name="_Toc454360037"/>
      <w:bookmarkStart w:id="16" w:name="_Toc454445299"/>
      <w:bookmarkStart w:id="17" w:name="_Toc454445459"/>
      <w:bookmarkStart w:id="18" w:name="_Toc454445529"/>
    </w:p>
    <w:p w14:paraId="02115D21" w14:textId="77777777" w:rsidR="006E0152" w:rsidRPr="00F468AC" w:rsidRDefault="006E0152" w:rsidP="00F468AC">
      <w:pPr>
        <w:pStyle w:val="ListParagraph"/>
        <w:numPr>
          <w:ilvl w:val="0"/>
          <w:numId w:val="3"/>
        </w:numPr>
        <w:ind w:left="426" w:hanging="426"/>
        <w:jc w:val="both"/>
        <w:rPr>
          <w:b/>
          <w:sz w:val="20"/>
          <w:szCs w:val="20"/>
        </w:rPr>
      </w:pPr>
      <w:r w:rsidRPr="00F468AC">
        <w:rPr>
          <w:b/>
          <w:sz w:val="20"/>
          <w:szCs w:val="20"/>
        </w:rPr>
        <w:t>Implementation</w:t>
      </w:r>
      <w:bookmarkEnd w:id="15"/>
      <w:bookmarkEnd w:id="16"/>
      <w:bookmarkEnd w:id="17"/>
      <w:bookmarkEnd w:id="18"/>
    </w:p>
    <w:p w14:paraId="6F2E78A7" w14:textId="77777777" w:rsidR="006E0152" w:rsidRPr="00F468AC" w:rsidRDefault="006E0152" w:rsidP="00F468AC">
      <w:pPr>
        <w:jc w:val="both"/>
        <w:rPr>
          <w:sz w:val="20"/>
          <w:szCs w:val="20"/>
        </w:rPr>
      </w:pPr>
    </w:p>
    <w:p w14:paraId="64D78B50" w14:textId="77777777" w:rsidR="006E0152" w:rsidRPr="00F468AC" w:rsidRDefault="006E0152" w:rsidP="00F468AC">
      <w:pPr>
        <w:jc w:val="both"/>
        <w:rPr>
          <w:sz w:val="20"/>
          <w:szCs w:val="20"/>
        </w:rPr>
      </w:pPr>
      <w:r w:rsidRPr="00F468AC">
        <w:rPr>
          <w:sz w:val="20"/>
          <w:szCs w:val="20"/>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1E7DA6E7" w14:textId="77777777" w:rsidR="006E0152" w:rsidRPr="00F468AC" w:rsidRDefault="006E0152" w:rsidP="00F468AC">
      <w:pPr>
        <w:jc w:val="both"/>
        <w:rPr>
          <w:sz w:val="20"/>
          <w:szCs w:val="20"/>
        </w:rPr>
      </w:pPr>
    </w:p>
    <w:p w14:paraId="5578B4AC" w14:textId="77A35FF9" w:rsidR="006E0152" w:rsidRPr="00F468AC" w:rsidRDefault="006E0152" w:rsidP="00F468AC">
      <w:pPr>
        <w:jc w:val="both"/>
        <w:rPr>
          <w:sz w:val="20"/>
          <w:szCs w:val="20"/>
        </w:rPr>
      </w:pPr>
      <w:r w:rsidRPr="00F468AC">
        <w:rPr>
          <w:sz w:val="20"/>
          <w:szCs w:val="20"/>
        </w:rPr>
        <w:t>Signed: _</w:t>
      </w:r>
      <w:r w:rsidR="00FB2234">
        <w:rPr>
          <w:noProof/>
          <w:sz w:val="20"/>
          <w:szCs w:val="20"/>
        </w:rPr>
        <w:drawing>
          <wp:inline distT="0" distB="0" distL="0" distR="0" wp14:anchorId="7B74049E" wp14:editId="51A5BB9B">
            <wp:extent cx="1000219" cy="450808"/>
            <wp:effectExtent l="0" t="0" r="0" b="0"/>
            <wp:docPr id="977076459" name="Picture 1" descr="A group of signatures on a white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076459" name="Picture 1" descr="A group of signatures on a white pap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440" cy="461274"/>
                    </a:xfrm>
                    <a:prstGeom prst="rect">
                      <a:avLst/>
                    </a:prstGeom>
                  </pic:spPr>
                </pic:pic>
              </a:graphicData>
            </a:graphic>
          </wp:inline>
        </w:drawing>
      </w:r>
      <w:r w:rsidRPr="00F468AC">
        <w:rPr>
          <w:sz w:val="20"/>
          <w:szCs w:val="20"/>
        </w:rPr>
        <w:t xml:space="preserve"> </w:t>
      </w:r>
      <w:r w:rsidR="00F468AC" w:rsidRPr="00F468AC">
        <w:rPr>
          <w:sz w:val="20"/>
          <w:szCs w:val="20"/>
        </w:rPr>
        <w:t xml:space="preserve">Manager </w:t>
      </w:r>
    </w:p>
    <w:p w14:paraId="12B812A3" w14:textId="2F6A5F15" w:rsidR="006E0152" w:rsidRPr="00F468AC" w:rsidRDefault="008E1990" w:rsidP="00F468AC">
      <w:pPr>
        <w:jc w:val="both"/>
        <w:rPr>
          <w:sz w:val="20"/>
          <w:szCs w:val="20"/>
        </w:rPr>
      </w:pPr>
      <w:r w:rsidRPr="00F468AC">
        <w:rPr>
          <w:sz w:val="20"/>
          <w:szCs w:val="20"/>
        </w:rPr>
        <w:t xml:space="preserve">Sam Deverell – Annaharvey </w:t>
      </w:r>
      <w:r w:rsidR="00FB2234" w:rsidRPr="00F468AC">
        <w:rPr>
          <w:sz w:val="20"/>
          <w:szCs w:val="20"/>
        </w:rPr>
        <w:t>farm,</w:t>
      </w:r>
      <w:r w:rsidRPr="00F468AC">
        <w:rPr>
          <w:sz w:val="20"/>
          <w:szCs w:val="20"/>
        </w:rPr>
        <w:t xml:space="preserve"> Tullamore Tel. 0579343544 Email sam@annaharveyfarm.ie</w:t>
      </w:r>
    </w:p>
    <w:p w14:paraId="3AAFBD20" w14:textId="77777777" w:rsidR="00E66871" w:rsidRPr="00F468AC" w:rsidRDefault="00E66871" w:rsidP="00F468AC">
      <w:pPr>
        <w:jc w:val="both"/>
        <w:rPr>
          <w:sz w:val="20"/>
          <w:szCs w:val="20"/>
        </w:rPr>
      </w:pPr>
    </w:p>
    <w:p w14:paraId="02F73A2A" w14:textId="77777777" w:rsidR="006E0152" w:rsidRPr="00F468AC" w:rsidRDefault="006E0152" w:rsidP="00F468AC">
      <w:pPr>
        <w:jc w:val="both"/>
        <w:rPr>
          <w:sz w:val="20"/>
          <w:szCs w:val="20"/>
        </w:rPr>
      </w:pPr>
    </w:p>
    <w:p w14:paraId="5877AA31" w14:textId="5B6AC856" w:rsidR="006E0152" w:rsidRPr="00F5185B" w:rsidRDefault="006E0152" w:rsidP="00F5185B">
      <w:pPr>
        <w:jc w:val="both"/>
        <w:rPr>
          <w:sz w:val="20"/>
          <w:szCs w:val="20"/>
        </w:rPr>
      </w:pPr>
      <w:r w:rsidRPr="00F468AC">
        <w:rPr>
          <w:sz w:val="20"/>
          <w:szCs w:val="20"/>
        </w:rPr>
        <w:t xml:space="preserve">For queries, please contact </w:t>
      </w:r>
      <w:r w:rsidR="008E1990" w:rsidRPr="00F468AC">
        <w:rPr>
          <w:b/>
          <w:sz w:val="20"/>
          <w:szCs w:val="20"/>
          <w:u w:val="single"/>
        </w:rPr>
        <w:t xml:space="preserve">Sam Deverell or Ev </w:t>
      </w:r>
      <w:r w:rsidR="00FB2234" w:rsidRPr="00F468AC">
        <w:rPr>
          <w:b/>
          <w:sz w:val="20"/>
          <w:szCs w:val="20"/>
          <w:u w:val="single"/>
        </w:rPr>
        <w:t>Browne</w:t>
      </w:r>
      <w:r w:rsidR="00FB2234" w:rsidRPr="00F468AC">
        <w:rPr>
          <w:sz w:val="20"/>
          <w:szCs w:val="20"/>
          <w:u w:val="single"/>
        </w:rPr>
        <w:t>,</w:t>
      </w:r>
      <w:r w:rsidRPr="00F468AC">
        <w:rPr>
          <w:sz w:val="20"/>
          <w:szCs w:val="20"/>
        </w:rPr>
        <w:t xml:space="preserve"> Relevant Person under the Children First Act 2015.</w:t>
      </w:r>
    </w:p>
    <w:sectPr w:rsidR="006E0152" w:rsidRPr="00F5185B" w:rsidSect="00EA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num w:numId="1" w16cid:durableId="20133866">
    <w:abstractNumId w:val="4"/>
  </w:num>
  <w:num w:numId="2" w16cid:durableId="2118601311">
    <w:abstractNumId w:val="1"/>
  </w:num>
  <w:num w:numId="3" w16cid:durableId="1204175296">
    <w:abstractNumId w:val="0"/>
  </w:num>
  <w:num w:numId="4" w16cid:durableId="66465487">
    <w:abstractNumId w:val="2"/>
  </w:num>
  <w:num w:numId="5" w16cid:durableId="1604461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1"/>
    <w:rsid w:val="000E6794"/>
    <w:rsid w:val="00115599"/>
    <w:rsid w:val="001972AA"/>
    <w:rsid w:val="006E0152"/>
    <w:rsid w:val="008E1990"/>
    <w:rsid w:val="009220EB"/>
    <w:rsid w:val="00964FF4"/>
    <w:rsid w:val="00A51266"/>
    <w:rsid w:val="00CA779D"/>
    <w:rsid w:val="00CC1E82"/>
    <w:rsid w:val="00CC6A7E"/>
    <w:rsid w:val="00E62D01"/>
    <w:rsid w:val="00E66871"/>
    <w:rsid w:val="00EA032F"/>
    <w:rsid w:val="00F468AC"/>
    <w:rsid w:val="00F5185B"/>
    <w:rsid w:val="00FB2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7FC4"/>
  <w15:docId w15:val="{E4042EE1-A5FA-483A-9BC5-0A456323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52"/>
    <w:pPr>
      <w:autoSpaceDE w:val="0"/>
      <w:autoSpaceDN w:val="0"/>
      <w:adjustRightInd w:val="0"/>
      <w:spacing w:after="0" w:line="240" w:lineRule="auto"/>
    </w:pPr>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0EB"/>
    <w:rPr>
      <w:color w:val="0000FF" w:themeColor="hyperlink"/>
      <w:u w:val="single"/>
    </w:rPr>
  </w:style>
  <w:style w:type="paragraph" w:styleId="BalloonText">
    <w:name w:val="Balloon Text"/>
    <w:basedOn w:val="Normal"/>
    <w:link w:val="BalloonTextChar"/>
    <w:uiPriority w:val="99"/>
    <w:semiHidden/>
    <w:unhideWhenUsed/>
    <w:rsid w:val="008E1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90"/>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 Deverell</cp:lastModifiedBy>
  <cp:revision>2</cp:revision>
  <cp:lastPrinted>2019-04-10T19:53:00Z</cp:lastPrinted>
  <dcterms:created xsi:type="dcterms:W3CDTF">2023-11-29T12:37:00Z</dcterms:created>
  <dcterms:modified xsi:type="dcterms:W3CDTF">2023-11-29T12:37:00Z</dcterms:modified>
</cp:coreProperties>
</file>